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2873"/>
        <w:gridCol w:w="6703"/>
      </w:tblGrid>
      <w:tr w:rsidR="002C0932" w:rsidRPr="002C0932" w:rsidTr="002C0932">
        <w:trPr>
          <w:trHeight w:val="1487"/>
        </w:trPr>
        <w:tc>
          <w:tcPr>
            <w:tcW w:w="1500" w:type="pct"/>
            <w:tcMar>
              <w:top w:w="0" w:type="dxa"/>
              <w:left w:w="108" w:type="dxa"/>
              <w:bottom w:w="0" w:type="dxa"/>
              <w:right w:w="108" w:type="dxa"/>
            </w:tcMar>
            <w:hideMark/>
          </w:tcPr>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lang w:val="fr-FR"/>
              </w:rPr>
              <w:t>THỦ TƯỚNG CHÍNH PHỦ</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sz w:val="20"/>
                <w:szCs w:val="20"/>
                <w:vertAlign w:val="superscript"/>
                <w:lang w:val="fr-FR"/>
              </w:rPr>
              <w:t>___________</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sz w:val="20"/>
                <w:szCs w:val="20"/>
                <w:lang w:val="fr-FR"/>
              </w:rPr>
              <w:t>Số:</w:t>
            </w:r>
            <w:r w:rsidRPr="002C0932">
              <w:rPr>
                <w:rFonts w:ascii="Arial" w:eastAsia="Times New Roman" w:hAnsi="Arial" w:cs="Arial"/>
                <w:b/>
                <w:bCs/>
                <w:sz w:val="20"/>
                <w:szCs w:val="20"/>
                <w:lang w:val="fr-FR"/>
              </w:rPr>
              <w:t xml:space="preserve"> 1230</w:t>
            </w:r>
            <w:r w:rsidRPr="002C0932">
              <w:rPr>
                <w:rFonts w:ascii="Arial" w:eastAsia="Times New Roman" w:hAnsi="Arial" w:cs="Arial"/>
                <w:sz w:val="20"/>
                <w:szCs w:val="20"/>
                <w:lang w:val="fr-FR"/>
              </w:rPr>
              <w:t>/QĐ-TTg</w:t>
            </w:r>
          </w:p>
        </w:tc>
        <w:tc>
          <w:tcPr>
            <w:tcW w:w="3500" w:type="pct"/>
            <w:tcMar>
              <w:top w:w="0" w:type="dxa"/>
              <w:left w:w="108" w:type="dxa"/>
              <w:bottom w:w="0" w:type="dxa"/>
              <w:right w:w="108" w:type="dxa"/>
            </w:tcMar>
            <w:hideMark/>
          </w:tcPr>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lang w:val="fr-FR"/>
              </w:rPr>
              <w:t>CỘNG HOÀ XÃ HỘI CHỦ NGHĨA VIỆT NAM</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lang w:val="pt-BR"/>
              </w:rPr>
              <w:t>Độc lập - Tự do - Hạnh phúc</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sz w:val="20"/>
                <w:szCs w:val="20"/>
                <w:vertAlign w:val="superscript"/>
                <w:lang w:val="pt-BR"/>
              </w:rPr>
              <w:t>________________________________________________</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i/>
                <w:iCs/>
                <w:sz w:val="20"/>
                <w:szCs w:val="20"/>
                <w:lang w:val="pt-BR"/>
              </w:rPr>
              <w:t>Hà Nội, ngày 17 tháng 9 năm 2007</w:t>
            </w:r>
          </w:p>
        </w:tc>
      </w:tr>
    </w:tbl>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Times New Roman" w:eastAsia="Times New Roman" w:hAnsi="Times New Roman" w:cs="Times New Roman"/>
          <w:sz w:val="24"/>
          <w:szCs w:val="24"/>
        </w:rPr>
        <w:t> </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rPr>
        <w:t>QUYẾT ĐỊNH</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rPr>
        <w:t xml:space="preserve">Phê duyệt Kế hoạch sắp xếp, đổi mới doanh nghiệp 100% vốn nhà nước </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rPr>
        <w:t>thuộc Ủy ban nhân dân tỉnh Hà Nam giai đoạn 2007 - 2010</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sz w:val="20"/>
          <w:szCs w:val="20"/>
        </w:rPr>
        <w:t>    ______________</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Times New Roman" w:eastAsia="Times New Roman" w:hAnsi="Times New Roman" w:cs="Times New Roman"/>
          <w:sz w:val="24"/>
          <w:szCs w:val="24"/>
        </w:rPr>
        <w:t> </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rPr>
        <w:t>THỦ TƯỚNG CHÍNH PHỦ</w:t>
      </w:r>
    </w:p>
    <w:p w:rsidR="002C0932" w:rsidRPr="002C0932" w:rsidRDefault="002C0932" w:rsidP="002C0932">
      <w:pPr>
        <w:spacing w:before="72" w:after="72" w:line="240" w:lineRule="auto"/>
        <w:jc w:val="both"/>
        <w:rPr>
          <w:rFonts w:ascii="Times New Roman" w:eastAsia="Times New Roman" w:hAnsi="Times New Roman" w:cs="Times New Roman"/>
          <w:sz w:val="24"/>
          <w:szCs w:val="24"/>
        </w:rPr>
      </w:pPr>
      <w:r w:rsidRPr="002C0932">
        <w:rPr>
          <w:rFonts w:ascii="Arial" w:eastAsia="Times New Roman" w:hAnsi="Arial" w:cs="Arial"/>
          <w:sz w:val="20"/>
          <w:szCs w:val="20"/>
        </w:rPr>
        <w:t>Căn cứ Luật Tổ chức Chính phủ ngày 25 tháng 12 năm 2001;</w:t>
      </w:r>
    </w:p>
    <w:p w:rsidR="002C0932" w:rsidRPr="002C0932" w:rsidRDefault="002C0932" w:rsidP="002C0932">
      <w:pPr>
        <w:spacing w:before="72" w:after="72" w:line="240" w:lineRule="auto"/>
        <w:jc w:val="both"/>
        <w:rPr>
          <w:rFonts w:ascii="Times New Roman" w:eastAsia="Times New Roman" w:hAnsi="Times New Roman" w:cs="Times New Roman"/>
          <w:sz w:val="24"/>
          <w:szCs w:val="24"/>
        </w:rPr>
      </w:pPr>
      <w:r w:rsidRPr="002C0932">
        <w:rPr>
          <w:rFonts w:ascii="Arial" w:eastAsia="Times New Roman" w:hAnsi="Arial" w:cs="Arial"/>
          <w:sz w:val="20"/>
          <w:szCs w:val="20"/>
        </w:rPr>
        <w:t>Căn cứ Luật Doanh nghiệp nhà nước ngày 26 tháng 11 năm 2003;</w:t>
      </w:r>
    </w:p>
    <w:p w:rsidR="002C0932" w:rsidRPr="002C0932" w:rsidRDefault="002C0932" w:rsidP="002C0932">
      <w:pPr>
        <w:spacing w:before="72" w:after="72" w:line="240" w:lineRule="auto"/>
        <w:jc w:val="both"/>
        <w:rPr>
          <w:rFonts w:ascii="Times New Roman" w:eastAsia="Times New Roman" w:hAnsi="Times New Roman" w:cs="Times New Roman"/>
          <w:sz w:val="24"/>
          <w:szCs w:val="24"/>
        </w:rPr>
      </w:pPr>
      <w:r w:rsidRPr="002C0932">
        <w:rPr>
          <w:rFonts w:ascii="Arial" w:eastAsia="Times New Roman" w:hAnsi="Arial" w:cs="Arial"/>
          <w:sz w:val="20"/>
          <w:szCs w:val="20"/>
        </w:rPr>
        <w:t>Căn cứ Quyết định số 38/2007/QĐ-TTg ngày 20 tháng 3 năm 2007 của Thủ tướng Chính phủ về ban hành tiêu chí, danh mục phân loại doanh nghiệp 100% vốn nhà nước;</w:t>
      </w:r>
    </w:p>
    <w:p w:rsidR="002C0932" w:rsidRPr="002C0932" w:rsidRDefault="002C0932" w:rsidP="002C0932">
      <w:pPr>
        <w:spacing w:before="72" w:after="72" w:line="240" w:lineRule="auto"/>
        <w:jc w:val="both"/>
        <w:rPr>
          <w:rFonts w:ascii="Times New Roman" w:eastAsia="Times New Roman" w:hAnsi="Times New Roman" w:cs="Times New Roman"/>
          <w:sz w:val="24"/>
          <w:szCs w:val="24"/>
        </w:rPr>
      </w:pPr>
      <w:r w:rsidRPr="002C0932">
        <w:rPr>
          <w:rFonts w:ascii="Arial" w:eastAsia="Times New Roman" w:hAnsi="Arial" w:cs="Arial"/>
          <w:sz w:val="20"/>
          <w:szCs w:val="20"/>
        </w:rPr>
        <w:t>Xét đề nghị của Ủy ban nhân dân tỉnh Hà Nam,</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Times New Roman" w:eastAsia="Times New Roman" w:hAnsi="Times New Roman" w:cs="Times New Roman"/>
          <w:sz w:val="24"/>
          <w:szCs w:val="24"/>
        </w:rPr>
        <w:t> </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rPr>
        <w:t>QUYẾT ĐỊNH:</w:t>
      </w:r>
    </w:p>
    <w:p w:rsidR="002C0932" w:rsidRPr="002C0932" w:rsidRDefault="002C0932" w:rsidP="002C0932">
      <w:pPr>
        <w:spacing w:before="72" w:after="72" w:line="240" w:lineRule="auto"/>
        <w:jc w:val="both"/>
        <w:rPr>
          <w:rFonts w:ascii="Times New Roman" w:eastAsia="Times New Roman" w:hAnsi="Times New Roman" w:cs="Times New Roman"/>
          <w:sz w:val="24"/>
          <w:szCs w:val="24"/>
        </w:rPr>
      </w:pPr>
      <w:r w:rsidRPr="002C0932">
        <w:rPr>
          <w:rFonts w:ascii="Times New Roman" w:eastAsia="Times New Roman" w:hAnsi="Times New Roman" w:cs="Times New Roman"/>
          <w:sz w:val="24"/>
          <w:szCs w:val="24"/>
        </w:rPr>
        <w:t> </w:t>
      </w:r>
    </w:p>
    <w:p w:rsidR="002C0932" w:rsidRPr="002C0932" w:rsidRDefault="002C0932" w:rsidP="002C0932">
      <w:pPr>
        <w:spacing w:before="72" w:after="72" w:line="240" w:lineRule="auto"/>
        <w:jc w:val="both"/>
        <w:rPr>
          <w:rFonts w:ascii="Times New Roman" w:eastAsia="Times New Roman" w:hAnsi="Times New Roman" w:cs="Times New Roman"/>
          <w:sz w:val="24"/>
          <w:szCs w:val="24"/>
        </w:rPr>
      </w:pPr>
      <w:r w:rsidRPr="002C0932">
        <w:rPr>
          <w:rFonts w:ascii="Arial" w:eastAsia="Times New Roman" w:hAnsi="Arial" w:cs="Arial"/>
          <w:b/>
          <w:bCs/>
          <w:sz w:val="20"/>
          <w:szCs w:val="20"/>
        </w:rPr>
        <w:t>Điều 1.</w:t>
      </w:r>
      <w:r w:rsidRPr="002C0932">
        <w:rPr>
          <w:rFonts w:ascii="Arial" w:eastAsia="Times New Roman" w:hAnsi="Arial" w:cs="Arial"/>
          <w:sz w:val="20"/>
          <w:szCs w:val="20"/>
        </w:rPr>
        <w:t xml:space="preserve"> Phê duyệt Kế hoạch sắp xếp, đổi mới doanh nghiệp 100% vốn nhà nước thuộc Ủy ban nhân dân tỉnh Hà Nam giai đoạn 2007-2010 như sau:</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1. Chuyển thành Công ty trách nhiệm hữu hạn một thành viên (năm 2008):</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 Công ty Khai thác công trình Thủy lợi Nam Hà Nam;</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 Công ty Khai thác công trình Thủy lợi Kim Bảng;</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 Công ty Khai thác công trình Thủy lợi Duy Tiên;</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 Công ty Xổ số kiến thiết.</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2. Thực hiện cổ phần hóa:</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 Công ty trách nhiệm hữu hạn một thành viên Công trình đô thị Hà Nam (năm 2008)</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 Công ty trách nhiệm hữu hạn một thành viên Cấp nước Hà Nam (năm 2009).</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b/>
          <w:bCs/>
          <w:sz w:val="20"/>
          <w:szCs w:val="20"/>
        </w:rPr>
        <w:t>Điều 2.</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1. Chủ tịch Ủy ban nhân dân tỉnh Hà Nam có trách nhiệm:</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a) Chỉ đạo thực hiện việc sắp xếp, đổi mới doanh nghiệp 100% vốn nhà nước trực thuộc theo đúng nội dung và tiến độ được duyệt;</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b) Căn cứ tiêu chí, danh mục phân loại doanh nghiệp 100% vốn nhà nước ban hành kèm theo Quyết định số 38/2007/QĐ-TTg ngày 20 tháng 3 năm 2007 của Thủ tướng Chính phủ để quyết định tỷ lệ cổ phần do Nhà nước nắm giữ khi thực hiện cổ phần hóa công ty nêu tại Quyết định này.</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2. Các Bộ: Tài chính, Kế hoạch và Đầu tư, Nội vụ, Lao động-Thương binh và Xã hội và các cơ quan liên quan có trách nhiệm phối hợp với Ủy ban nhân dân tỉnh Hà Nam trong việc thực hiện Quyết định này.</w:t>
      </w:r>
    </w:p>
    <w:p w:rsidR="002C0932" w:rsidRPr="002C0932" w:rsidRDefault="002C0932" w:rsidP="002C0932">
      <w:pPr>
        <w:spacing w:before="72" w:after="72" w:line="240" w:lineRule="auto"/>
        <w:rPr>
          <w:rFonts w:ascii="Times New Roman" w:eastAsia="Times New Roman" w:hAnsi="Times New Roman" w:cs="Times New Roman"/>
          <w:sz w:val="24"/>
          <w:szCs w:val="24"/>
        </w:rPr>
      </w:pPr>
      <w:r w:rsidRPr="002C0932">
        <w:rPr>
          <w:rFonts w:ascii="Arial" w:eastAsia="Times New Roman" w:hAnsi="Arial" w:cs="Arial"/>
          <w:sz w:val="20"/>
          <w:szCs w:val="20"/>
        </w:rPr>
        <w:t>3. Ban Chỉ đạo Đổi mới và Phát triển doanh nghiệp chịu trách nhiệm chỉ đạo, đôn đốc, hướng dẫn và theo dõi việc thực hiện.</w:t>
      </w:r>
    </w:p>
    <w:p w:rsidR="002C0932" w:rsidRPr="002C0932" w:rsidRDefault="002C0932" w:rsidP="002C0932">
      <w:pPr>
        <w:spacing w:before="72" w:after="72" w:line="240" w:lineRule="auto"/>
        <w:jc w:val="both"/>
        <w:rPr>
          <w:rFonts w:ascii="Times New Roman" w:eastAsia="Times New Roman" w:hAnsi="Times New Roman" w:cs="Times New Roman"/>
          <w:sz w:val="24"/>
          <w:szCs w:val="24"/>
        </w:rPr>
      </w:pPr>
      <w:r w:rsidRPr="002C0932">
        <w:rPr>
          <w:rFonts w:ascii="Arial" w:eastAsia="Times New Roman" w:hAnsi="Arial" w:cs="Arial"/>
          <w:b/>
          <w:bCs/>
          <w:sz w:val="20"/>
          <w:szCs w:val="20"/>
        </w:rPr>
        <w:t>Điều 3.</w:t>
      </w:r>
      <w:r w:rsidRPr="002C0932">
        <w:rPr>
          <w:rFonts w:ascii="Arial" w:eastAsia="Times New Roman" w:hAnsi="Arial" w:cs="Arial"/>
          <w:sz w:val="20"/>
          <w:szCs w:val="20"/>
        </w:rPr>
        <w:t xml:space="preserve"> Quyết định này có hiệu lực thi hành từ ngày ký ban hành.</w:t>
      </w:r>
    </w:p>
    <w:p w:rsidR="002C0932" w:rsidRPr="002C0932" w:rsidRDefault="002C0932" w:rsidP="002C0932">
      <w:pPr>
        <w:spacing w:before="72" w:after="72" w:line="240" w:lineRule="auto"/>
        <w:jc w:val="both"/>
        <w:rPr>
          <w:rFonts w:ascii="Times New Roman" w:eastAsia="Times New Roman" w:hAnsi="Times New Roman" w:cs="Times New Roman"/>
          <w:sz w:val="24"/>
          <w:szCs w:val="24"/>
        </w:rPr>
      </w:pPr>
      <w:r w:rsidRPr="002C0932">
        <w:rPr>
          <w:rFonts w:ascii="Arial" w:eastAsia="Times New Roman" w:hAnsi="Arial" w:cs="Arial"/>
          <w:sz w:val="20"/>
          <w:szCs w:val="20"/>
        </w:rPr>
        <w:t>Chủ tịch Ủy ban nhân dân tỉnh Hà Nam và Thủ trưởng các cơ quan liên quan chịu trách nhiệm thi hành Quyết định này./.</w:t>
      </w:r>
    </w:p>
    <w:p w:rsidR="002C0932" w:rsidRPr="002C0932" w:rsidRDefault="002C0932" w:rsidP="002C0932">
      <w:pPr>
        <w:spacing w:before="72" w:after="72" w:line="240" w:lineRule="auto"/>
        <w:jc w:val="both"/>
        <w:rPr>
          <w:rFonts w:ascii="Times New Roman" w:eastAsia="Times New Roman" w:hAnsi="Times New Roman" w:cs="Times New Roman"/>
          <w:sz w:val="24"/>
          <w:szCs w:val="24"/>
        </w:rPr>
      </w:pPr>
      <w:r w:rsidRPr="002C0932">
        <w:rPr>
          <w:rFonts w:ascii="Times New Roman" w:eastAsia="Times New Roman" w:hAnsi="Times New Roman" w:cs="Times New Roman"/>
          <w:sz w:val="24"/>
          <w:szCs w:val="24"/>
        </w:rPr>
        <w:lastRenderedPageBreak/>
        <w:t> </w:t>
      </w:r>
    </w:p>
    <w:tbl>
      <w:tblPr>
        <w:tblW w:w="5000" w:type="pct"/>
        <w:tblCellMar>
          <w:left w:w="0" w:type="dxa"/>
          <w:right w:w="0" w:type="dxa"/>
        </w:tblCellMar>
        <w:tblLook w:val="04A0"/>
      </w:tblPr>
      <w:tblGrid>
        <w:gridCol w:w="5746"/>
        <w:gridCol w:w="3830"/>
      </w:tblGrid>
      <w:tr w:rsidR="002C0932" w:rsidRPr="002C0932" w:rsidTr="002C0932">
        <w:tc>
          <w:tcPr>
            <w:tcW w:w="3000" w:type="pct"/>
            <w:tcMar>
              <w:top w:w="0" w:type="dxa"/>
              <w:left w:w="108" w:type="dxa"/>
              <w:bottom w:w="0" w:type="dxa"/>
              <w:right w:w="108" w:type="dxa"/>
            </w:tcMar>
            <w:hideMark/>
          </w:tcPr>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Times New Roman" w:eastAsia="Times New Roman" w:hAnsi="Times New Roman" w:cs="Times New Roman"/>
                <w:sz w:val="24"/>
                <w:szCs w:val="24"/>
              </w:rPr>
              <w:t> </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b/>
                <w:bCs/>
                <w:i/>
                <w:iCs/>
                <w:sz w:val="18"/>
                <w:szCs w:val="18"/>
                <w:lang w:val="nb-NO"/>
              </w:rPr>
              <w:t>Nơi nhận</w:t>
            </w:r>
            <w:r w:rsidRPr="002C0932">
              <w:rPr>
                <w:rFonts w:ascii="Arial" w:eastAsia="Times New Roman" w:hAnsi="Arial" w:cs="Arial"/>
                <w:i/>
                <w:iCs/>
                <w:sz w:val="18"/>
                <w:szCs w:val="18"/>
                <w:lang w:val="nb-NO"/>
              </w:rPr>
              <w:t>:</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lang w:val="nb-NO"/>
              </w:rPr>
              <w:t>- Thủ tướng, các PTT Chính phủ;</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lang w:val="nb-NO"/>
              </w:rPr>
              <w:t>- Các Bộ: Tài chính, Nội vụ,</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lang w:val="nb-NO"/>
              </w:rPr>
              <w:t>  Kế hoạch và Đầu tư,</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lang w:val="nb-NO"/>
              </w:rPr>
              <w:t>  Lao động-Thương binh và Xã hội;</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lang w:val="nb-NO"/>
              </w:rPr>
              <w:t>- Ngân hàng Nhà nước Việt Nam;</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lang w:val="nb-NO"/>
              </w:rPr>
              <w:t>- Ủy ban nhân dân tỉnh Hà Nam;</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lang w:val="nb-NO"/>
              </w:rPr>
              <w:t>- Ban Chỉ đạo Đổi mới và Phát triển DN;</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lang w:val="nb-NO"/>
              </w:rPr>
              <w:t>- VPCP: BTCN, các PCN,</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lang w:val="nb-NO"/>
              </w:rPr>
              <w:t>  Website CP,</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lang w:val="nb-NO"/>
              </w:rPr>
              <w:t>  các Vụ: TH, KTTH, ĐP;</w:t>
            </w:r>
          </w:p>
          <w:p w:rsidR="002C0932" w:rsidRPr="002C0932" w:rsidRDefault="002C0932" w:rsidP="002C0932">
            <w:pPr>
              <w:spacing w:before="24" w:after="24" w:line="240" w:lineRule="auto"/>
              <w:rPr>
                <w:rFonts w:ascii="Times New Roman" w:eastAsia="Times New Roman" w:hAnsi="Times New Roman" w:cs="Times New Roman"/>
                <w:sz w:val="24"/>
                <w:szCs w:val="24"/>
              </w:rPr>
            </w:pPr>
            <w:r w:rsidRPr="002C0932">
              <w:rPr>
                <w:rFonts w:ascii="Arial" w:eastAsia="Times New Roman" w:hAnsi="Arial" w:cs="Arial"/>
                <w:sz w:val="18"/>
                <w:szCs w:val="18"/>
              </w:rPr>
              <w:t>- Lưu: Văn thư, ĐMDNI (5b), A.35</w:t>
            </w:r>
          </w:p>
        </w:tc>
        <w:tc>
          <w:tcPr>
            <w:tcW w:w="2000" w:type="pct"/>
            <w:tcMar>
              <w:top w:w="0" w:type="dxa"/>
              <w:left w:w="108" w:type="dxa"/>
              <w:bottom w:w="0" w:type="dxa"/>
              <w:right w:w="108" w:type="dxa"/>
            </w:tcMar>
            <w:hideMark/>
          </w:tcPr>
          <w:p w:rsidR="002C0932" w:rsidRPr="002C0932" w:rsidRDefault="002C0932" w:rsidP="002C0932">
            <w:pPr>
              <w:spacing w:before="72" w:after="72" w:line="240" w:lineRule="auto"/>
              <w:jc w:val="center"/>
              <w:outlineLvl w:val="0"/>
              <w:rPr>
                <w:rFonts w:ascii="Times New Roman" w:eastAsia="Times New Roman" w:hAnsi="Times New Roman" w:cs="Times New Roman"/>
                <w:b/>
                <w:bCs/>
                <w:kern w:val="36"/>
                <w:sz w:val="48"/>
                <w:szCs w:val="48"/>
              </w:rPr>
            </w:pPr>
            <w:r w:rsidRPr="002C0932">
              <w:rPr>
                <w:rFonts w:ascii="Arial" w:eastAsia="Times New Roman" w:hAnsi="Arial" w:cs="Arial"/>
                <w:b/>
                <w:bCs/>
                <w:kern w:val="36"/>
                <w:sz w:val="20"/>
                <w:szCs w:val="20"/>
              </w:rPr>
              <w:t>KT. THỦ TƯỚNG</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rPr>
              <w:t>PHÓ THỦ TƯỚNG</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Times New Roman" w:eastAsia="Times New Roman" w:hAnsi="Times New Roman" w:cs="Times New Roman"/>
                <w:sz w:val="24"/>
                <w:szCs w:val="24"/>
              </w:rPr>
              <w:t> </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lang w:val="en-GB"/>
              </w:rPr>
              <w:t> (Đã ký)</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Times New Roman" w:eastAsia="Times New Roman" w:hAnsi="Times New Roman" w:cs="Times New Roman"/>
                <w:sz w:val="24"/>
                <w:szCs w:val="24"/>
              </w:rPr>
              <w:t> </w:t>
            </w:r>
          </w:p>
          <w:p w:rsidR="002C0932" w:rsidRPr="002C0932" w:rsidRDefault="002C0932" w:rsidP="002C0932">
            <w:pPr>
              <w:spacing w:before="72" w:after="72" w:line="240" w:lineRule="auto"/>
              <w:jc w:val="center"/>
              <w:rPr>
                <w:rFonts w:ascii="Times New Roman" w:eastAsia="Times New Roman" w:hAnsi="Times New Roman" w:cs="Times New Roman"/>
                <w:sz w:val="24"/>
                <w:szCs w:val="24"/>
              </w:rPr>
            </w:pPr>
            <w:r w:rsidRPr="002C0932">
              <w:rPr>
                <w:rFonts w:ascii="Arial" w:eastAsia="Times New Roman" w:hAnsi="Arial" w:cs="Arial"/>
                <w:b/>
                <w:bCs/>
                <w:sz w:val="20"/>
                <w:szCs w:val="20"/>
                <w:lang w:val="en-GB"/>
              </w:rPr>
              <w:t>Nguyễn Sinh Hùng</w:t>
            </w:r>
          </w:p>
        </w:tc>
      </w:tr>
    </w:tbl>
    <w:p w:rsidR="00C8422D" w:rsidRDefault="00C8422D"/>
    <w:sectPr w:rsidR="00C8422D" w:rsidSect="00C842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0932"/>
    <w:rsid w:val="002C0932"/>
    <w:rsid w:val="00C84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2D"/>
  </w:style>
  <w:style w:type="paragraph" w:styleId="Heading1">
    <w:name w:val="heading 1"/>
    <w:basedOn w:val="Normal"/>
    <w:link w:val="Heading1Char"/>
    <w:uiPriority w:val="9"/>
    <w:qFormat/>
    <w:rsid w:val="002C09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9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09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127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HangTTDL</dc:creator>
  <cp:lastModifiedBy>HangTTDL</cp:lastModifiedBy>
  <cp:revision>1</cp:revision>
  <dcterms:created xsi:type="dcterms:W3CDTF">2015-12-07T08:12:00Z</dcterms:created>
  <dcterms:modified xsi:type="dcterms:W3CDTF">2015-12-07T08:12:00Z</dcterms:modified>
</cp:coreProperties>
</file>