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3859"/>
        <w:gridCol w:w="5789"/>
      </w:tblGrid>
      <w:tr w:rsidR="00DA02AD" w:rsidTr="00DA02AD">
        <w:trPr>
          <w:trHeight w:val="540"/>
        </w:trPr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D" w:rsidRDefault="00DA02AD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THỦ TƯỚNG CHÍNH PHỦ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_______</w:t>
            </w:r>
          </w:p>
        </w:tc>
        <w:tc>
          <w:tcPr>
            <w:tcW w:w="5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D" w:rsidRDefault="00DA02AD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>
              <w:rPr>
                <w:b/>
                <w:bCs/>
                <w:sz w:val="26"/>
                <w:szCs w:val="26"/>
              </w:rPr>
              <w:br/>
            </w: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  <w:r>
              <w:rPr>
                <w:b/>
                <w:bCs/>
                <w:sz w:val="26"/>
                <w:szCs w:val="26"/>
              </w:rPr>
              <w:br/>
              <w:t>__________</w:t>
            </w:r>
          </w:p>
        </w:tc>
      </w:tr>
      <w:tr w:rsidR="00DA02AD" w:rsidTr="00DA02AD"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D" w:rsidRDefault="00DA02AD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 856/QĐ-</w:t>
            </w:r>
            <w:proofErr w:type="spellStart"/>
            <w:r>
              <w:rPr>
                <w:sz w:val="28"/>
                <w:szCs w:val="28"/>
              </w:rPr>
              <w:t>TTg</w:t>
            </w:r>
            <w:proofErr w:type="spellEnd"/>
          </w:p>
        </w:tc>
        <w:tc>
          <w:tcPr>
            <w:tcW w:w="5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D" w:rsidRDefault="00DA02AD">
            <w:pPr>
              <w:spacing w:before="120" w:after="100" w:afterAutospacing="1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Hà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Nội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22 </w:t>
            </w:r>
            <w:proofErr w:type="spellStart"/>
            <w:r>
              <w:rPr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6 </w:t>
            </w:r>
            <w:proofErr w:type="spellStart"/>
            <w:r>
              <w:rPr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2009</w:t>
            </w:r>
          </w:p>
        </w:tc>
      </w:tr>
    </w:tbl>
    <w:p w:rsidR="00DA02AD" w:rsidRDefault="00DA02AD" w:rsidP="00DA02AD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A02AD" w:rsidRDefault="00DA02AD" w:rsidP="00DA02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QUYẾT ĐỊNH</w:t>
      </w:r>
    </w:p>
    <w:p w:rsidR="00DA02AD" w:rsidRDefault="00DA02AD" w:rsidP="00DA02AD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Phê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duyệt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chỉnh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kế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sắp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xếp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đổi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mới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doanh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nghiệp</w:t>
      </w:r>
      <w:proofErr w:type="spellEnd"/>
      <w:r>
        <w:rPr>
          <w:b/>
          <w:bCs/>
          <w:sz w:val="28"/>
          <w:szCs w:val="28"/>
        </w:rPr>
        <w:t xml:space="preserve"> 100% </w:t>
      </w:r>
      <w:proofErr w:type="spellStart"/>
      <w:r>
        <w:rPr>
          <w:b/>
          <w:bCs/>
          <w:sz w:val="28"/>
          <w:szCs w:val="28"/>
        </w:rPr>
        <w:t>vốn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nước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thuộc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Ủy</w:t>
      </w:r>
      <w:proofErr w:type="spellEnd"/>
      <w:r>
        <w:rPr>
          <w:b/>
          <w:bCs/>
          <w:sz w:val="28"/>
          <w:szCs w:val="28"/>
        </w:rPr>
        <w:t xml:space="preserve"> ban </w:t>
      </w:r>
      <w:proofErr w:type="spellStart"/>
      <w:r>
        <w:rPr>
          <w:b/>
          <w:bCs/>
          <w:sz w:val="28"/>
          <w:szCs w:val="28"/>
        </w:rPr>
        <w:t>nhân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tỉnh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Thanh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Hóa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DA02AD" w:rsidRDefault="00DA02AD" w:rsidP="00DA02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DA02AD" w:rsidRDefault="00DA02AD" w:rsidP="00DA02AD">
      <w:pPr>
        <w:jc w:val="center"/>
        <w:rPr>
          <w:sz w:val="28"/>
          <w:szCs w:val="28"/>
        </w:rPr>
      </w:pPr>
    </w:p>
    <w:p w:rsidR="00DA02AD" w:rsidRDefault="00DA02AD" w:rsidP="00DA02A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THỦ TƯỚNG CHÍNH PHỦ 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Căn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cứ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Luật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Tổ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chức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Chính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phủ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25 </w:t>
      </w:r>
      <w:proofErr w:type="spellStart"/>
      <w:r>
        <w:rPr>
          <w:iCs/>
          <w:sz w:val="28"/>
          <w:szCs w:val="28"/>
        </w:rPr>
        <w:t>tháng</w:t>
      </w:r>
      <w:proofErr w:type="spellEnd"/>
      <w:r>
        <w:rPr>
          <w:iCs/>
          <w:sz w:val="28"/>
          <w:szCs w:val="28"/>
        </w:rPr>
        <w:t xml:space="preserve"> 12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2001;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Căn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cứ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Luật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Doanh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nghiệp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nhà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nước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26 </w:t>
      </w:r>
      <w:proofErr w:type="spellStart"/>
      <w:r>
        <w:rPr>
          <w:iCs/>
          <w:sz w:val="28"/>
          <w:szCs w:val="28"/>
        </w:rPr>
        <w:t>tháng</w:t>
      </w:r>
      <w:proofErr w:type="spellEnd"/>
      <w:r>
        <w:rPr>
          <w:iCs/>
          <w:sz w:val="28"/>
          <w:szCs w:val="28"/>
        </w:rPr>
        <w:t xml:space="preserve"> 11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2003;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Căn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cứ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Quyết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định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số</w:t>
      </w:r>
      <w:proofErr w:type="spellEnd"/>
      <w:r>
        <w:rPr>
          <w:iCs/>
          <w:sz w:val="28"/>
          <w:szCs w:val="28"/>
        </w:rPr>
        <w:t xml:space="preserve"> 38/2007/QĐ-</w:t>
      </w:r>
      <w:proofErr w:type="spellStart"/>
      <w:r>
        <w:rPr>
          <w:iCs/>
          <w:sz w:val="28"/>
          <w:szCs w:val="28"/>
        </w:rPr>
        <w:t>TTg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20 </w:t>
      </w:r>
      <w:proofErr w:type="spellStart"/>
      <w:r>
        <w:rPr>
          <w:iCs/>
          <w:sz w:val="28"/>
          <w:szCs w:val="28"/>
        </w:rPr>
        <w:t>tháng</w:t>
      </w:r>
      <w:proofErr w:type="spellEnd"/>
      <w:r>
        <w:rPr>
          <w:iCs/>
          <w:sz w:val="28"/>
          <w:szCs w:val="28"/>
        </w:rPr>
        <w:t xml:space="preserve"> 3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2007 </w:t>
      </w:r>
      <w:proofErr w:type="spellStart"/>
      <w:r>
        <w:rPr>
          <w:iCs/>
          <w:sz w:val="28"/>
          <w:szCs w:val="28"/>
        </w:rPr>
        <w:t>của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Thủ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tướng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Chính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phủ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về</w:t>
      </w:r>
      <w:proofErr w:type="spellEnd"/>
      <w:r>
        <w:rPr>
          <w:iCs/>
          <w:sz w:val="28"/>
          <w:szCs w:val="28"/>
        </w:rPr>
        <w:t xml:space="preserve"> ban </w:t>
      </w:r>
      <w:proofErr w:type="spellStart"/>
      <w:r>
        <w:rPr>
          <w:iCs/>
          <w:sz w:val="28"/>
          <w:szCs w:val="28"/>
        </w:rPr>
        <w:t>hành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tiêu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chí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danh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mục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phân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loại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doanh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nghiệp</w:t>
      </w:r>
      <w:proofErr w:type="spellEnd"/>
      <w:r>
        <w:rPr>
          <w:iCs/>
          <w:sz w:val="28"/>
          <w:szCs w:val="28"/>
        </w:rPr>
        <w:t xml:space="preserve"> 100% </w:t>
      </w:r>
      <w:proofErr w:type="spellStart"/>
      <w:r>
        <w:rPr>
          <w:iCs/>
          <w:sz w:val="28"/>
          <w:szCs w:val="28"/>
        </w:rPr>
        <w:t>vốn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nhà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nước</w:t>
      </w:r>
      <w:proofErr w:type="spellEnd"/>
      <w:r>
        <w:rPr>
          <w:iCs/>
          <w:sz w:val="28"/>
          <w:szCs w:val="28"/>
        </w:rPr>
        <w:t>;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Xét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nghị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của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Ủy</w:t>
      </w:r>
      <w:proofErr w:type="spellEnd"/>
      <w:r>
        <w:rPr>
          <w:iCs/>
          <w:sz w:val="28"/>
          <w:szCs w:val="28"/>
        </w:rPr>
        <w:t xml:space="preserve"> ban </w:t>
      </w:r>
      <w:proofErr w:type="spellStart"/>
      <w:r>
        <w:rPr>
          <w:iCs/>
          <w:sz w:val="28"/>
          <w:szCs w:val="28"/>
        </w:rPr>
        <w:t>nhân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dân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tỉnh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Thanh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Hóa</w:t>
      </w:r>
      <w:proofErr w:type="spellEnd"/>
      <w:r>
        <w:rPr>
          <w:iCs/>
          <w:sz w:val="28"/>
          <w:szCs w:val="28"/>
        </w:rPr>
        <w:t>,</w:t>
      </w:r>
    </w:p>
    <w:p w:rsidR="00DA02AD" w:rsidRDefault="00DA02AD" w:rsidP="00DA02AD">
      <w:pPr>
        <w:spacing w:before="120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QUYẾT ĐỊNH: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1.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100% </w:t>
      </w:r>
      <w:proofErr w:type="spellStart"/>
      <w:r>
        <w:rPr>
          <w:sz w:val="28"/>
          <w:szCs w:val="28"/>
        </w:rPr>
        <w:t>vốn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100% </w:t>
      </w:r>
      <w:proofErr w:type="spellStart"/>
      <w:r>
        <w:rPr>
          <w:sz w:val="28"/>
          <w:szCs w:val="28"/>
        </w:rPr>
        <w:t>vốn</w:t>
      </w:r>
      <w:proofErr w:type="spellEnd"/>
      <w:r>
        <w:rPr>
          <w:sz w:val="28"/>
          <w:szCs w:val="28"/>
        </w:rPr>
        <w:t>: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>;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2009).</w:t>
      </w:r>
      <w:proofErr w:type="gramEnd"/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100% </w:t>
      </w:r>
      <w:proofErr w:type="spellStart"/>
      <w:r>
        <w:rPr>
          <w:sz w:val="28"/>
          <w:szCs w:val="28"/>
        </w:rPr>
        <w:t>vốn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: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>;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>.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lastRenderedPageBreak/>
        <w:t>Điều</w:t>
      </w:r>
      <w:proofErr w:type="spellEnd"/>
      <w:r>
        <w:rPr>
          <w:b/>
          <w:bCs/>
          <w:sz w:val="28"/>
          <w:szCs w:val="28"/>
        </w:rPr>
        <w:t xml:space="preserve"> 2.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>: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100% </w:t>
      </w:r>
      <w:proofErr w:type="spellStart"/>
      <w:r>
        <w:rPr>
          <w:sz w:val="28"/>
          <w:szCs w:val="28"/>
        </w:rPr>
        <w:t>vốn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>;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,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>.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Ban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.</w:t>
      </w:r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3.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>.</w:t>
      </w:r>
      <w:proofErr w:type="gramEnd"/>
    </w:p>
    <w:p w:rsidR="00DA02AD" w:rsidRDefault="00DA02AD" w:rsidP="00DA02AD">
      <w:pPr>
        <w:spacing w:before="120" w:after="100" w:afterAutospacing="1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>.</w:t>
      </w:r>
    </w:p>
    <w:p w:rsidR="00DA02AD" w:rsidRDefault="00DA02AD" w:rsidP="00DA02AD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8819" w:type="dxa"/>
        <w:tblCellMar>
          <w:left w:w="0" w:type="dxa"/>
          <w:right w:w="0" w:type="dxa"/>
        </w:tblCellMar>
        <w:tblLook w:val="04A0"/>
      </w:tblPr>
      <w:tblGrid>
        <w:gridCol w:w="4428"/>
        <w:gridCol w:w="4391"/>
      </w:tblGrid>
      <w:tr w:rsidR="00DA02AD" w:rsidTr="00DA02A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D" w:rsidRDefault="00DA02AD">
            <w:pPr>
              <w:spacing w:before="120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  <w:p w:rsidR="00DA02AD" w:rsidRDefault="00DA02AD">
            <w:pPr>
              <w:spacing w:before="120" w:after="100" w:afterAutospacing="1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Nơi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nhận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tướng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tướng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phủ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Tài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  <w:r>
              <w:rPr>
                <w:sz w:val="22"/>
                <w:szCs w:val="22"/>
              </w:rPr>
              <w:t xml:space="preserve">, Lao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Thương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tin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sz w:val="22"/>
                <w:szCs w:val="22"/>
              </w:rPr>
              <w:t>Ủy</w:t>
            </w:r>
            <w:proofErr w:type="spellEnd"/>
            <w:r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nhân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Hóa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 xml:space="preserve">- Ban </w:t>
            </w:r>
            <w:proofErr w:type="spellStart"/>
            <w:r>
              <w:rPr>
                <w:sz w:val="22"/>
                <w:szCs w:val="22"/>
              </w:rPr>
              <w:t>Chỉ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đổi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DN;</w:t>
            </w:r>
            <w:r>
              <w:rPr>
                <w:sz w:val="22"/>
                <w:szCs w:val="22"/>
              </w:rPr>
              <w:br/>
              <w:t xml:space="preserve">- VPCP: BTCN,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PCN,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>; TH, TKBT, KTN, KTTH, ĐP;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</w:t>
            </w:r>
            <w:proofErr w:type="spellEnd"/>
            <w:r>
              <w:rPr>
                <w:sz w:val="22"/>
                <w:szCs w:val="22"/>
              </w:rPr>
              <w:t xml:space="preserve">, ĐMDN (5b). </w:t>
            </w:r>
          </w:p>
        </w:tc>
        <w:tc>
          <w:tcPr>
            <w:tcW w:w="4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AD" w:rsidRDefault="00DA02AD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KT. THỦ TƯỚNG</w:t>
            </w:r>
            <w:r>
              <w:rPr>
                <w:b/>
                <w:bCs/>
                <w:sz w:val="28"/>
                <w:szCs w:val="28"/>
              </w:rPr>
              <w:br/>
              <w:t>PHÓ THỦ TƯỚNG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(</w:t>
            </w:r>
            <w:proofErr w:type="spellStart"/>
            <w:r>
              <w:rPr>
                <w:b/>
                <w:bCs/>
                <w:sz w:val="28"/>
                <w:szCs w:val="28"/>
              </w:rPr>
              <w:t>Đã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ký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Sinh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Hùng</w:t>
            </w:r>
            <w:proofErr w:type="spellEnd"/>
          </w:p>
        </w:tc>
      </w:tr>
    </w:tbl>
    <w:p w:rsidR="00DA02AD" w:rsidRDefault="00DA02AD" w:rsidP="00DA02AD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F52BE" w:rsidRDefault="00AF52BE"/>
    <w:sectPr w:rsidR="00AF52BE" w:rsidSect="00AF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2AD"/>
    <w:rsid w:val="00AF52BE"/>
    <w:rsid w:val="00DA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HangTTDL</dc:creator>
  <cp:lastModifiedBy>HangTTDL</cp:lastModifiedBy>
  <cp:revision>1</cp:revision>
  <dcterms:created xsi:type="dcterms:W3CDTF">2015-11-19T09:23:00Z</dcterms:created>
  <dcterms:modified xsi:type="dcterms:W3CDTF">2015-11-19T09:24:00Z</dcterms:modified>
</cp:coreProperties>
</file>